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277C3">
      <w:pPr>
        <w:rPr>
          <w:rFonts w:ascii="黑体" w:hAnsi="黑体" w:eastAsia="黑体"/>
          <w:b/>
          <w:sz w:val="52"/>
          <w:szCs w:val="52"/>
        </w:rPr>
      </w:pPr>
    </w:p>
    <w:p w14:paraId="041490E2">
      <w:pPr>
        <w:spacing w:line="1040" w:lineRule="exact"/>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color w:val="FF0000"/>
          <w:spacing w:val="5"/>
          <w:w w:val="55"/>
          <w:kern w:val="0"/>
          <w:sz w:val="96"/>
          <w:szCs w:val="96"/>
        </w:rPr>
        <w:t>绍兴市中心医院医共体齐贤分院文</w:t>
      </w:r>
      <w:r>
        <w:rPr>
          <w:rFonts w:hint="eastAsia" w:ascii="Arial Unicode MS" w:hAnsi="Arial Unicode MS" w:eastAsia="Arial Unicode MS" w:cs="Arial Unicode MS"/>
          <w:color w:val="FF0000"/>
          <w:spacing w:val="-37"/>
          <w:w w:val="55"/>
          <w:kern w:val="0"/>
          <w:sz w:val="96"/>
          <w:szCs w:val="96"/>
        </w:rPr>
        <w:t>件</w:t>
      </w:r>
    </w:p>
    <w:p w14:paraId="099EA9CD">
      <w:pPr>
        <w:spacing w:line="480" w:lineRule="exact"/>
        <w:jc w:val="center"/>
        <w:rPr>
          <w:rFonts w:hint="eastAsia" w:ascii="仿宋_GB2312" w:hAnsi="仿宋_GB2312" w:eastAsia="仿宋_GB2312" w:cs="仿宋_GB2312"/>
          <w:sz w:val="32"/>
          <w:szCs w:val="32"/>
        </w:rPr>
      </w:pPr>
    </w:p>
    <w:p w14:paraId="579B2408">
      <w:pPr>
        <w:spacing w:line="480" w:lineRule="exact"/>
        <w:jc w:val="center"/>
        <w:rPr>
          <w:rFonts w:hint="eastAsia" w:ascii="仿宋_GB2312" w:hAnsi="仿宋_GB2312" w:eastAsia="仿宋_GB2312" w:cs="仿宋_GB2312"/>
          <w:sz w:val="32"/>
          <w:szCs w:val="32"/>
        </w:rPr>
      </w:pPr>
    </w:p>
    <w:p w14:paraId="2A9BEBF8">
      <w:pPr>
        <w:spacing w:line="480" w:lineRule="exact"/>
        <w:jc w:val="center"/>
        <w:rPr>
          <w:rFonts w:hint="eastAsia" w:ascii="仿宋_GB2312" w:hAnsi="仿宋_GB2312" w:eastAsia="仿宋_GB2312" w:cs="仿宋_GB2312"/>
          <w:sz w:val="32"/>
          <w:szCs w:val="32"/>
        </w:rPr>
      </w:pPr>
    </w:p>
    <w:p w14:paraId="1A1459EF">
      <w:pPr>
        <w:spacing w:line="575" w:lineRule="exact"/>
        <w:jc w:val="center"/>
        <w:rPr>
          <w:rFonts w:ascii="仿宋" w:hAnsi="仿宋" w:eastAsia="仿宋"/>
          <w:sz w:val="32"/>
          <w:szCs w:val="32"/>
        </w:rPr>
      </w:pPr>
      <w:r>
        <w:rPr>
          <w:rFonts w:hint="eastAsia" w:ascii="仿宋" w:hAnsi="仿宋" w:eastAsia="仿宋"/>
          <w:sz w:val="32"/>
          <w:szCs w:val="32"/>
        </w:rPr>
        <w:t>绍市中心医共体齐分院发〔2025〕8号</w:t>
      </w:r>
    </w:p>
    <w:p w14:paraId="6E89290A">
      <w:pPr>
        <w:spacing w:line="56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97155</wp:posOffset>
                </wp:positionV>
                <wp:extent cx="5615940" cy="0"/>
                <wp:effectExtent l="10160" t="16510" r="12700" b="12065"/>
                <wp:wrapNone/>
                <wp:docPr id="1630766955"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直接连接符 29" o:spid="_x0000_s1026" o:spt="20" style="position:absolute;left:0pt;margin-left:0pt;margin-top:7.65pt;height:0pt;width:442.2pt;z-index:251660288;mso-width-relative:page;mso-height-relative:page;" filled="f" stroked="t" coordsize="21600,21600" o:gfxdata="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JYHgNUAAAAGAQAADwAAAAAAAAABACAAAAAiAAAAZHJzL2Rvd25yZXYueG1sUEsBAhQAFAAAAAgA&#10;h07iQPJKrDTvAQAAtQMAAA4AAAAAAAAAAQAgAAAAJAEAAGRycy9lMm9Eb2MueG1sUEsFBgAAAAAG&#10;AAYAWQEAAIUFAAAAAA==&#10;">
                <v:fill on="f" focussize="0,0"/>
                <v:stroke weight="1.5pt" color="#FF0000" joinstyle="round"/>
                <v:imagedata o:title=""/>
                <o:lock v:ext="edit" aspectratio="f"/>
              </v:line>
            </w:pict>
          </mc:Fallback>
        </mc:AlternateContent>
      </w:r>
    </w:p>
    <w:p w14:paraId="32635DB3">
      <w:pPr>
        <w:spacing w:line="560" w:lineRule="exact"/>
        <w:jc w:val="center"/>
        <w:rPr>
          <w:rFonts w:hint="eastAsia" w:ascii="仿宋_GB2312" w:hAnsi="仿宋_GB2312" w:eastAsia="仿宋_GB2312" w:cs="仿宋_GB2312"/>
          <w:bCs/>
          <w:sz w:val="32"/>
          <w:szCs w:val="32"/>
        </w:rPr>
      </w:pPr>
    </w:p>
    <w:p w14:paraId="7535A152">
      <w:pPr>
        <w:spacing w:line="600" w:lineRule="exact"/>
        <w:jc w:val="center"/>
        <w:rPr>
          <w:rFonts w:ascii="Arial Unicode MS" w:eastAsia="Arial Unicode MS"/>
          <w:bCs/>
          <w:sz w:val="44"/>
          <w:szCs w:val="44"/>
        </w:rPr>
      </w:pPr>
      <w:r>
        <w:rPr>
          <w:rFonts w:hint="eastAsia" w:ascii="Arial Unicode MS" w:eastAsia="Arial Unicode MS"/>
          <w:bCs/>
          <w:sz w:val="44"/>
          <w:szCs w:val="44"/>
        </w:rPr>
        <w:t>绍兴市中心医院医共体齐贤分院关于印发</w:t>
      </w:r>
    </w:p>
    <w:p w14:paraId="7E417B6A">
      <w:pPr>
        <w:spacing w:line="600" w:lineRule="exact"/>
        <w:jc w:val="center"/>
        <w:rPr>
          <w:rFonts w:ascii="Arial Unicode MS" w:eastAsia="Arial Unicode MS"/>
          <w:sz w:val="44"/>
          <w:szCs w:val="44"/>
        </w:rPr>
      </w:pPr>
      <w:r>
        <w:rPr>
          <w:rFonts w:hint="eastAsia" w:ascii="Arial Unicode MS" w:eastAsia="Arial Unicode MS"/>
          <w:bCs/>
          <w:sz w:val="44"/>
          <w:szCs w:val="44"/>
        </w:rPr>
        <w:t>“早孕关爱行动”工作方案</w:t>
      </w:r>
      <w:r>
        <w:rPr>
          <w:rFonts w:hint="eastAsia" w:ascii="Arial Unicode MS" w:eastAsia="Arial Unicode MS"/>
          <w:sz w:val="44"/>
          <w:szCs w:val="44"/>
        </w:rPr>
        <w:t>的通知</w:t>
      </w:r>
    </w:p>
    <w:p w14:paraId="6F06DCE6">
      <w:pPr>
        <w:jc w:val="center"/>
        <w:rPr>
          <w:rFonts w:ascii="仿宋_GB2312" w:eastAsia="仿宋_GB2312"/>
          <w:sz w:val="32"/>
          <w:szCs w:val="32"/>
        </w:rPr>
      </w:pPr>
    </w:p>
    <w:p w14:paraId="08C60D20">
      <w:pPr>
        <w:spacing w:line="600" w:lineRule="exact"/>
        <w:jc w:val="left"/>
        <w:rPr>
          <w:rFonts w:hint="eastAsia" w:ascii="仿宋" w:hAnsi="仿宋" w:eastAsia="仿宋" w:cs="仿宋_GB2312"/>
          <w:sz w:val="32"/>
          <w:szCs w:val="32"/>
        </w:rPr>
      </w:pPr>
      <w:r>
        <w:rPr>
          <w:rFonts w:hint="eastAsia" w:ascii="仿宋" w:hAnsi="仿宋" w:eastAsia="仿宋" w:cs="仿宋_GB2312"/>
          <w:sz w:val="32"/>
          <w:szCs w:val="32"/>
        </w:rPr>
        <w:t>各科室：</w:t>
      </w:r>
    </w:p>
    <w:p w14:paraId="6944BAFD">
      <w:pPr>
        <w:spacing w:line="600" w:lineRule="exact"/>
        <w:ind w:firstLine="640" w:firstLineChars="200"/>
        <w:jc w:val="left"/>
        <w:rPr>
          <w:rFonts w:ascii="仿宋" w:hAnsi="仿宋" w:eastAsia="仿宋"/>
          <w:sz w:val="32"/>
          <w:szCs w:val="32"/>
        </w:rPr>
      </w:pPr>
      <w:r>
        <w:rPr>
          <w:rFonts w:hint="eastAsia" w:ascii="仿宋" w:hAnsi="仿宋" w:eastAsia="仿宋" w:cs="仿宋_GB2312"/>
          <w:bCs/>
          <w:sz w:val="32"/>
          <w:szCs w:val="32"/>
        </w:rPr>
        <w:t>为积极推进早孕关爱服务工作，提升生殖健康水平，改善产妇生育体验，特制定《绍兴市中心医院医共体齐贤分院早孕关爱行动工作方案》现印发如下，请认真贯彻执行。</w:t>
      </w:r>
    </w:p>
    <w:p w14:paraId="115D530C">
      <w:pPr>
        <w:spacing w:line="600" w:lineRule="exact"/>
        <w:jc w:val="left"/>
        <w:rPr>
          <w:rFonts w:ascii="仿宋" w:hAnsi="仿宋" w:eastAsia="仿宋"/>
          <w:sz w:val="32"/>
          <w:szCs w:val="32"/>
        </w:rPr>
      </w:pPr>
    </w:p>
    <w:p w14:paraId="160AED65">
      <w:pPr>
        <w:spacing w:line="600" w:lineRule="exact"/>
        <w:jc w:val="left"/>
        <w:rPr>
          <w:rFonts w:ascii="仿宋" w:hAnsi="仿宋" w:eastAsia="仿宋"/>
          <w:sz w:val="32"/>
          <w:szCs w:val="32"/>
        </w:rPr>
      </w:pPr>
    </w:p>
    <w:p w14:paraId="673626CF">
      <w:pPr>
        <w:spacing w:line="600" w:lineRule="exact"/>
        <w:jc w:val="right"/>
        <w:rPr>
          <w:rFonts w:ascii="仿宋" w:hAnsi="仿宋" w:eastAsia="仿宋"/>
          <w:sz w:val="32"/>
          <w:szCs w:val="32"/>
        </w:rPr>
      </w:pPr>
      <w:r>
        <w:rPr>
          <w:rFonts w:hint="eastAsia" w:ascii="仿宋" w:hAnsi="仿宋" w:eastAsia="仿宋"/>
          <w:sz w:val="32"/>
          <w:szCs w:val="32"/>
        </w:rPr>
        <w:t>绍兴市中心医院医共体齐贤分院</w:t>
      </w:r>
    </w:p>
    <w:p w14:paraId="450D3031">
      <w:pPr>
        <w:spacing w:line="600" w:lineRule="exact"/>
        <w:ind w:right="640"/>
        <w:jc w:val="center"/>
        <w:rPr>
          <w:rFonts w:ascii="仿宋" w:hAnsi="仿宋" w:eastAsia="仿宋"/>
          <w:sz w:val="32"/>
          <w:szCs w:val="32"/>
        </w:rPr>
      </w:pPr>
      <w:r>
        <w:rPr>
          <w:rFonts w:hint="eastAsia" w:ascii="仿宋" w:hAnsi="仿宋" w:eastAsia="仿宋"/>
          <w:sz w:val="32"/>
          <w:szCs w:val="32"/>
        </w:rPr>
        <w:t xml:space="preserve">                              2025年3月28日</w:t>
      </w:r>
    </w:p>
    <w:p w14:paraId="3DE63C56">
      <w:pPr>
        <w:pStyle w:val="20"/>
        <w:snapToGrid w:val="0"/>
        <w:spacing w:before="0" w:beforeAutospacing="0" w:after="0" w:afterAutospacing="0" w:line="600" w:lineRule="exact"/>
        <w:ind w:right="1176"/>
        <w:jc w:val="both"/>
        <w:rPr>
          <w:rFonts w:hint="eastAsia" w:ascii="仿宋" w:hAnsi="仿宋" w:eastAsia="仿宋" w:cs="Tahoma"/>
          <w:sz w:val="32"/>
          <w:szCs w:val="32"/>
        </w:rPr>
      </w:pPr>
    </w:p>
    <w:p w14:paraId="60735AB3">
      <w:pPr>
        <w:spacing w:line="600" w:lineRule="exact"/>
        <w:jc w:val="center"/>
        <w:rPr>
          <w:rFonts w:hint="eastAsia" w:ascii="仿宋" w:hAnsi="仿宋" w:eastAsia="仿宋" w:cs="Arial Unicode MS"/>
          <w:b/>
          <w:bCs/>
          <w:sz w:val="44"/>
          <w:szCs w:val="44"/>
        </w:rPr>
      </w:pPr>
      <w:bookmarkStart w:id="0" w:name="_GoBack"/>
      <w:r>
        <w:rPr>
          <w:rFonts w:hint="eastAsia" w:ascii="仿宋" w:hAnsi="仿宋" w:eastAsia="仿宋" w:cs="Arial Unicode MS"/>
          <w:b/>
          <w:bCs/>
          <w:sz w:val="44"/>
          <w:szCs w:val="44"/>
        </w:rPr>
        <w:t>绍兴市中心医院医共体齐贤分院</w:t>
      </w:r>
    </w:p>
    <w:p w14:paraId="5F9DCD6F">
      <w:pPr>
        <w:spacing w:line="600" w:lineRule="exact"/>
        <w:jc w:val="center"/>
        <w:rPr>
          <w:rFonts w:hint="eastAsia" w:ascii="仿宋" w:hAnsi="仿宋" w:eastAsia="仿宋" w:cs="Arial Unicode MS"/>
          <w:b/>
          <w:bCs/>
          <w:sz w:val="44"/>
          <w:szCs w:val="44"/>
        </w:rPr>
      </w:pPr>
      <w:r>
        <w:rPr>
          <w:rFonts w:hint="eastAsia" w:ascii="仿宋" w:hAnsi="仿宋" w:eastAsia="仿宋" w:cs="Arial Unicode MS"/>
          <w:b/>
          <w:bCs/>
          <w:sz w:val="44"/>
          <w:szCs w:val="44"/>
        </w:rPr>
        <w:t>“早孕关爱行动”工作方案</w:t>
      </w:r>
    </w:p>
    <w:bookmarkEnd w:id="0"/>
    <w:p w14:paraId="161DF4BF">
      <w:pPr>
        <w:spacing w:line="600" w:lineRule="exact"/>
        <w:jc w:val="left"/>
        <w:rPr>
          <w:rFonts w:hint="eastAsia" w:ascii="仿宋" w:hAnsi="仿宋" w:eastAsia="仿宋" w:cstheme="majorEastAsia"/>
          <w:b/>
          <w:bCs/>
          <w:sz w:val="44"/>
          <w:szCs w:val="44"/>
        </w:rPr>
      </w:pPr>
    </w:p>
    <w:p w14:paraId="24A9FCA8">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为贯彻落实国务院办公厅《关于加快完善生育支持政策体系 推动建设生育友好型社会的若干措施》有关工作要求，推进早孕关爱服务工作，提升生殖健康水平，改善产妇生育体验，结合医院实际，现决定开展早孕关爱专项行动。</w:t>
      </w:r>
    </w:p>
    <w:p w14:paraId="4107563C">
      <w:pPr>
        <w:spacing w:line="600" w:lineRule="exact"/>
        <w:ind w:firstLine="640" w:firstLineChars="200"/>
        <w:jc w:val="left"/>
        <w:rPr>
          <w:rFonts w:hint="eastAsia" w:ascii="仿宋" w:hAnsi="仿宋" w:eastAsia="仿宋" w:cs="黑体"/>
          <w:sz w:val="32"/>
          <w:szCs w:val="32"/>
        </w:rPr>
      </w:pPr>
      <w:r>
        <w:rPr>
          <w:rFonts w:hint="eastAsia" w:ascii="仿宋" w:hAnsi="仿宋" w:eastAsia="仿宋" w:cs="黑体"/>
          <w:sz w:val="32"/>
          <w:szCs w:val="32"/>
        </w:rPr>
        <w:t>一、总体要求</w:t>
      </w:r>
    </w:p>
    <w:p w14:paraId="213A1DDD">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深入贯彻习近平总书记关于卫生健康工作和人口高质量发展系列重要指示批示精神，围绕生育全程服务，以早孕门诊建设为切入点，以早孕信息化集中管理为抓手，全面开展早孕关爱服务，建立对早孕女性的分类指导标准化服务，在充分尊重女性和家庭意愿的基础上，为早孕女性审慎决策提供专业咨询指导，减少非必要非医学需要的人工流产，切实维护女性生殖健康。</w:t>
      </w:r>
    </w:p>
    <w:p w14:paraId="1E98C767">
      <w:pPr>
        <w:spacing w:line="600" w:lineRule="exact"/>
        <w:ind w:firstLine="640" w:firstLineChars="200"/>
        <w:jc w:val="left"/>
        <w:rPr>
          <w:rFonts w:hint="eastAsia" w:ascii="仿宋" w:hAnsi="仿宋" w:eastAsia="仿宋" w:cs="黑体"/>
          <w:sz w:val="32"/>
          <w:szCs w:val="32"/>
        </w:rPr>
      </w:pPr>
      <w:r>
        <w:rPr>
          <w:rFonts w:hint="eastAsia" w:ascii="仿宋" w:hAnsi="仿宋" w:eastAsia="仿宋" w:cs="黑体"/>
          <w:sz w:val="32"/>
          <w:szCs w:val="32"/>
        </w:rPr>
        <w:t>二、行动目标</w:t>
      </w:r>
    </w:p>
    <w:p w14:paraId="3D439BE0">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积极树立“生育友好”服务理念，围绕生育全程服务，从院前、院中到院后全面开展早孕关爱行动，营造促进生殖健康、支持生育的良好氛围，逐年降低早孕女性中的非意愿妊娠流产率，重复流产率控制在5‰以下。</w:t>
      </w:r>
    </w:p>
    <w:p w14:paraId="7504951B">
      <w:pPr>
        <w:spacing w:line="600" w:lineRule="exact"/>
        <w:ind w:firstLine="640" w:firstLineChars="200"/>
        <w:jc w:val="left"/>
        <w:rPr>
          <w:rFonts w:hint="eastAsia" w:ascii="仿宋" w:hAnsi="仿宋" w:eastAsia="仿宋" w:cs="黑体"/>
          <w:sz w:val="32"/>
          <w:szCs w:val="32"/>
        </w:rPr>
      </w:pPr>
      <w:r>
        <w:rPr>
          <w:rFonts w:hint="eastAsia" w:ascii="仿宋" w:hAnsi="仿宋" w:eastAsia="仿宋" w:cs="黑体"/>
          <w:sz w:val="32"/>
          <w:szCs w:val="32"/>
        </w:rPr>
        <w:t>三、行动内容</w:t>
      </w:r>
    </w:p>
    <w:p w14:paraId="19D99E7E">
      <w:pPr>
        <w:spacing w:line="600" w:lineRule="exact"/>
        <w:ind w:firstLine="640" w:firstLineChars="200"/>
        <w:jc w:val="left"/>
        <w:rPr>
          <w:rFonts w:hint="eastAsia" w:ascii="仿宋" w:hAnsi="仿宋" w:eastAsia="仿宋" w:cs="楷体_GB2312"/>
          <w:sz w:val="32"/>
          <w:szCs w:val="32"/>
        </w:rPr>
      </w:pPr>
      <w:r>
        <w:rPr>
          <w:rFonts w:hint="eastAsia" w:ascii="仿宋" w:hAnsi="仿宋" w:eastAsia="仿宋" w:cs="楷体_GB2312"/>
          <w:sz w:val="32"/>
          <w:szCs w:val="32"/>
        </w:rPr>
        <w:t>（一）开设早孕门诊一体化服务</w:t>
      </w:r>
    </w:p>
    <w:p w14:paraId="357E9BD1">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设立早孕门诊。将早孕门诊科目在微信公众号、自助机挂号端等单独设置并置顶，引导对以妊娠为主诉的早孕女性在早孕门诊就诊。设立醒目标志，引导孕妇就医，让全院医务人员和病人知晓早孕关爱行动，主动提醒和引导早孕妇女到早孕门诊就诊。</w:t>
      </w:r>
    </w:p>
    <w:p w14:paraId="2BD72FC8">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2.实行早孕一站式服务。早孕门诊设置在妇产科区域，由妇产科主任医生负责落实首诊负责；优化早孕门诊的就诊流程，</w:t>
      </w:r>
      <w:r>
        <w:rPr>
          <w:rFonts w:hint="eastAsia" w:ascii="仿宋" w:hAnsi="仿宋" w:eastAsia="仿宋" w:cs="仿宋_GB2312"/>
          <w:sz w:val="32"/>
          <w:szCs w:val="32"/>
          <w:lang w:val="en-US" w:eastAsia="zh-CN"/>
        </w:rPr>
        <w:t>开通</w:t>
      </w:r>
      <w:r>
        <w:rPr>
          <w:rFonts w:hint="eastAsia" w:ascii="仿宋" w:hAnsi="仿宋" w:eastAsia="仿宋" w:cs="仿宋_GB2312"/>
          <w:sz w:val="32"/>
          <w:szCs w:val="32"/>
          <w:highlight w:val="none"/>
        </w:rPr>
        <w:t>采血、超声、检查检验预约服务</w:t>
      </w:r>
      <w:r>
        <w:rPr>
          <w:rFonts w:hint="eastAsia" w:ascii="仿宋" w:hAnsi="仿宋" w:eastAsia="仿宋" w:cs="仿宋_GB2312"/>
          <w:sz w:val="32"/>
          <w:szCs w:val="32"/>
          <w:highlight w:val="none"/>
          <w:lang w:val="en-US" w:eastAsia="zh-CN"/>
        </w:rPr>
        <w:t>绿色通道</w:t>
      </w:r>
      <w:r>
        <w:rPr>
          <w:rFonts w:hint="eastAsia" w:ascii="仿宋" w:hAnsi="仿宋" w:eastAsia="仿宋" w:cs="仿宋_GB2312"/>
          <w:sz w:val="32"/>
          <w:szCs w:val="32"/>
          <w:highlight w:val="none"/>
        </w:rPr>
        <w:t>，</w:t>
      </w:r>
      <w:r>
        <w:rPr>
          <w:rFonts w:hint="eastAsia" w:ascii="仿宋" w:hAnsi="仿宋" w:eastAsia="仿宋" w:cs="仿宋_GB2312"/>
          <w:sz w:val="32"/>
          <w:szCs w:val="32"/>
        </w:rPr>
        <w:t>努力实现“挂号一次、系统服务”。</w:t>
      </w:r>
    </w:p>
    <w:p w14:paraId="175608AC">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3.建立早孕分类管理标准化方案。早孕门诊接诊医生按具体就诊的需求，分为拟生育女性、早孕异常女性、拟人工流产女性三类人群，根据分类人群制定相应标准化的诊疗方案、健康教育处方和进一步转诊服务。</w:t>
      </w:r>
    </w:p>
    <w:p w14:paraId="09C23214">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4.及早做好早孕建卡和分级管理。拟生育且正常妊娠女性，在早孕门诊即可完成早孕建卡，早孕开始即进行妊娠风险筛查和分级管理，建卡后及早进行孕期系统管理，加强孕早期营养和生活方式指导，提供心理支持，预防不良结局发生。建卡后无缝对接后续的产科诊疗，利用绍兴市妇幼健康管理云平台实现早孕信息共享，对早孕高危孕妇实行分级管理，橙色及以上高危孕妇及时做好转诊工作。</w:t>
      </w:r>
    </w:p>
    <w:p w14:paraId="3D8525F2">
      <w:pPr>
        <w:spacing w:line="600" w:lineRule="exact"/>
        <w:ind w:firstLine="640" w:firstLineChars="200"/>
        <w:jc w:val="left"/>
        <w:rPr>
          <w:rFonts w:hint="eastAsia" w:ascii="仿宋" w:hAnsi="仿宋" w:eastAsia="仿宋" w:cs="楷体_GB2312"/>
          <w:sz w:val="32"/>
          <w:szCs w:val="32"/>
        </w:rPr>
      </w:pPr>
      <w:r>
        <w:rPr>
          <w:rFonts w:hint="eastAsia" w:ascii="仿宋" w:hAnsi="仿宋" w:eastAsia="仿宋" w:cs="楷体_GB2312"/>
          <w:sz w:val="32"/>
          <w:szCs w:val="32"/>
        </w:rPr>
        <w:t>（二）做好早孕异常规范化处置</w:t>
      </w:r>
    </w:p>
    <w:p w14:paraId="4227B722">
      <w:pPr>
        <w:spacing w:line="600" w:lineRule="exact"/>
        <w:ind w:firstLine="640" w:firstLineChars="200"/>
        <w:jc w:val="left"/>
        <w:rPr>
          <w:rFonts w:ascii="仿宋" w:hAnsi="仿宋" w:eastAsia="仿宋"/>
        </w:rPr>
      </w:pPr>
      <w:r>
        <w:rPr>
          <w:rFonts w:hint="eastAsia" w:ascii="仿宋" w:hAnsi="仿宋" w:eastAsia="仿宋" w:cs="仿宋_GB2312"/>
          <w:sz w:val="32"/>
          <w:szCs w:val="32"/>
        </w:rPr>
        <w:t>1.重视有先兆流产风险且需继续妊娠的评估和处理。拟生育，但有先兆流产、不良妊娠史等妊娠风险者，早孕门诊接诊医生进行充分评估可以继续妊娠者，及时提供个体化精准诊疗服务。</w:t>
      </w:r>
    </w:p>
    <w:p w14:paraId="37555345">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规范早孕异常不能继续妊娠的诊疗操作。对自然流产、胚胎停育等早孕异常的女性，收住入院后由经管医生综合评估病情，提供合适的终止妊娠方式，尽量减少不必要的宫腔操作；对异位妊娠的女性，如需要手术治疗，手术由经验丰富的医生实施，切实保护子宫内膜、输卵管结构、卵巢功能，切实保护女性生育力。</w:t>
      </w:r>
    </w:p>
    <w:p w14:paraId="695E8F3D">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3.加强早孕异常后再次妊娠的备孕指导。对早孕异常后流产原因需尽量提供病因学诊断、专业咨询指导，为女性再次妊娠提供科学备孕指导。</w:t>
      </w:r>
    </w:p>
    <w:p w14:paraId="681B2D87">
      <w:pPr>
        <w:spacing w:line="600" w:lineRule="exact"/>
        <w:ind w:firstLine="640" w:firstLineChars="200"/>
        <w:jc w:val="left"/>
        <w:rPr>
          <w:rFonts w:hint="eastAsia" w:ascii="仿宋" w:hAnsi="仿宋" w:eastAsia="仿宋" w:cs="楷体_GB2312"/>
          <w:sz w:val="32"/>
          <w:szCs w:val="32"/>
        </w:rPr>
      </w:pPr>
      <w:r>
        <w:rPr>
          <w:rFonts w:hint="eastAsia" w:ascii="仿宋" w:hAnsi="仿宋" w:eastAsia="仿宋" w:cs="楷体_GB2312"/>
          <w:sz w:val="32"/>
          <w:szCs w:val="32"/>
        </w:rPr>
        <w:t>（三）规范人工流产一条链管理</w:t>
      </w:r>
    </w:p>
    <w:p w14:paraId="362ED033">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1.强化流产前的咨询指导。对拟人工流产的女性，早孕接诊医生详细了解拟人工流产原因（社会因素</w:t>
      </w:r>
      <w:r>
        <w:rPr>
          <w:rFonts w:hint="eastAsia" w:ascii="仿宋" w:hAnsi="仿宋" w:eastAsia="仿宋" w:cs="仿宋_GB2312"/>
          <w:sz w:val="32"/>
          <w:szCs w:val="32"/>
          <w:lang w:val="en-US" w:eastAsia="zh-CN"/>
        </w:rPr>
        <w:t>和</w:t>
      </w:r>
      <w:r>
        <w:rPr>
          <w:rFonts w:hint="eastAsia" w:ascii="仿宋" w:hAnsi="仿宋" w:eastAsia="仿宋" w:cs="仿宋_GB2312"/>
          <w:sz w:val="32"/>
          <w:szCs w:val="32"/>
        </w:rPr>
        <w:t>医学因素），规范开展流产前综合评估，提供个性化健康教育、一对一咨询指导，多告知、多讲解、多科普，重点强调流产危害。针对工作因素、经济因素占比较高的情况开展分析，指导帮助女性理性审慎做出决策，减少人工流产的发生。</w:t>
      </w:r>
    </w:p>
    <w:p w14:paraId="2B814F98">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2.加强因医学因素要求人工流产的重点评估。对药物暴露、优生遗传等医学因素导致的孕育焦虑要求流产的，早孕门诊接诊医师可转诊至</w:t>
      </w:r>
      <w:r>
        <w:rPr>
          <w:rFonts w:hint="eastAsia" w:ascii="仿宋" w:hAnsi="仿宋" w:eastAsia="仿宋" w:cs="仿宋_GB2312"/>
          <w:sz w:val="32"/>
          <w:szCs w:val="32"/>
          <w:highlight w:val="none"/>
        </w:rPr>
        <w:t>绍兴市妇保院妊娠期</w:t>
      </w:r>
      <w:r>
        <w:rPr>
          <w:rFonts w:hint="eastAsia" w:ascii="仿宋" w:hAnsi="仿宋" w:eastAsia="仿宋" w:cs="仿宋_GB2312"/>
          <w:sz w:val="32"/>
          <w:szCs w:val="32"/>
        </w:rPr>
        <w:t>药物咨询门诊和遗传咨询门诊进一步咨询。</w:t>
      </w:r>
    </w:p>
    <w:p w14:paraId="2716113C">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3.规范人工流产诊疗操作。对最终确定流产的女性，需严格按照《临床诊疗指南与技术操作规范（计划生育分册）》选择适宜的人工流产方法，在允许范围内尽量选择药物终止妊娠，减少非必要的宫腔操作。</w:t>
      </w:r>
    </w:p>
    <w:p w14:paraId="5393EC0C">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4.做好人流后关爱服务。对已实施人工流产的女性，严格落实流产后关爱，指导女性即时落实长效避孕方式。对于人工流产术等官腔操作后子官内膜损伤的高风险人群，转诊至绍兴市妇保院及时进行子宫内膜修复治疗，促进生育力恢复和保持。</w:t>
      </w:r>
    </w:p>
    <w:p w14:paraId="12CF19A6">
      <w:pPr>
        <w:spacing w:line="600" w:lineRule="exact"/>
        <w:ind w:firstLine="640" w:firstLineChars="200"/>
        <w:jc w:val="left"/>
        <w:rPr>
          <w:rFonts w:hint="eastAsia" w:ascii="仿宋" w:hAnsi="仿宋" w:eastAsia="仿宋" w:cs="楷体_GB2312"/>
          <w:sz w:val="32"/>
          <w:szCs w:val="32"/>
        </w:rPr>
      </w:pPr>
      <w:r>
        <w:rPr>
          <w:rFonts w:hint="eastAsia" w:ascii="仿宋" w:hAnsi="仿宋" w:eastAsia="仿宋" w:cs="楷体_GB2312"/>
          <w:sz w:val="32"/>
          <w:szCs w:val="32"/>
        </w:rPr>
        <w:t>（四）扩大生殖健康教育覆盖面</w:t>
      </w:r>
    </w:p>
    <w:p w14:paraId="4D956289">
      <w:pPr>
        <w:spacing w:line="600" w:lineRule="exact"/>
        <w:ind w:firstLine="640" w:firstLineChars="200"/>
        <w:jc w:val="left"/>
        <w:rPr>
          <w:rFonts w:hint="eastAsia" w:ascii="仿宋" w:hAnsi="仿宋" w:eastAsia="仿宋" w:cs="仿宋_GB2312"/>
          <w:sz w:val="32"/>
          <w:szCs w:val="32"/>
          <w:highlight w:val="none"/>
        </w:rPr>
      </w:pPr>
      <w:r>
        <w:rPr>
          <w:rFonts w:hint="eastAsia" w:ascii="仿宋" w:hAnsi="仿宋" w:eastAsia="仿宋" w:cs="仿宋_GB2312"/>
          <w:sz w:val="32"/>
          <w:szCs w:val="32"/>
        </w:rPr>
        <w:t>1.</w:t>
      </w:r>
      <w:r>
        <w:rPr>
          <w:rFonts w:hint="eastAsia" w:ascii="仿宋" w:hAnsi="仿宋" w:eastAsia="仿宋" w:cs="仿宋_GB2312"/>
          <w:sz w:val="32"/>
          <w:szCs w:val="32"/>
          <w:highlight w:val="none"/>
        </w:rPr>
        <w:t>组建生殖健康促进团队，通过学校、社区、医院候诊区、诊室等多途径、多维度进行生殖健康知识科学普及和宣传指导。</w:t>
      </w:r>
    </w:p>
    <w:p w14:paraId="5100A06E">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highlight w:val="none"/>
        </w:rPr>
        <w:t>2.开展不同年龄段生殖健康科普。通过讲座和义诊的形式，针对生命周期各阶段人群进行与年龄相匹配的生殖健康专题讲座和活动，将青少年生殖健康科普教育纳入学校健康平台，开展学校健康公益讲座，学生体检异常提供免费咨询电话。</w:t>
      </w:r>
      <w:r>
        <w:rPr>
          <w:rFonts w:hint="eastAsia" w:ascii="仿宋" w:hAnsi="仿宋" w:eastAsia="仿宋" w:cs="仿宋_GB2312"/>
          <w:sz w:val="32"/>
          <w:szCs w:val="32"/>
          <w:highlight w:val="none"/>
          <w:lang w:val="en-US" w:eastAsia="zh-CN"/>
        </w:rPr>
        <w:t>针对</w:t>
      </w:r>
      <w:r>
        <w:rPr>
          <w:rFonts w:hint="eastAsia" w:ascii="仿宋" w:hAnsi="仿宋" w:eastAsia="仿宋" w:cs="仿宋_GB2312"/>
          <w:sz w:val="32"/>
          <w:szCs w:val="32"/>
          <w:highlight w:val="none"/>
        </w:rPr>
        <w:t>小学高年段，讲解生命孕育和生殖系统卫生保健知识，开展青春“周期秀”情境互动式青少年生殖健康教育项目，树立生殖健康、生育力保护理念；</w:t>
      </w:r>
      <w:r>
        <w:rPr>
          <w:rFonts w:hint="eastAsia" w:ascii="仿宋" w:hAnsi="仿宋" w:eastAsia="仿宋" w:cs="仿宋_GB2312"/>
          <w:sz w:val="32"/>
          <w:szCs w:val="32"/>
          <w:highlight w:val="none"/>
          <w:lang w:val="en-US" w:eastAsia="zh-CN"/>
        </w:rPr>
        <w:t>针对</w:t>
      </w:r>
      <w:r>
        <w:rPr>
          <w:rFonts w:hint="eastAsia" w:ascii="仿宋" w:hAnsi="仿宋" w:eastAsia="仿宋" w:cs="仿宋_GB2312"/>
          <w:sz w:val="32"/>
          <w:szCs w:val="32"/>
          <w:highlight w:val="none"/>
        </w:rPr>
        <w:t>中学阶段，宣传科学避孕</w:t>
      </w:r>
      <w:r>
        <w:rPr>
          <w:rFonts w:hint="eastAsia" w:ascii="仿宋" w:hAnsi="仿宋" w:eastAsia="仿宋" w:cs="仿宋_GB2312"/>
          <w:sz w:val="32"/>
          <w:szCs w:val="32"/>
        </w:rPr>
        <w:t>和预防性病传播知识，减少非意愿妊娠发生；</w:t>
      </w:r>
      <w:r>
        <w:rPr>
          <w:rFonts w:hint="eastAsia" w:ascii="仿宋" w:hAnsi="仿宋" w:eastAsia="仿宋" w:cs="仿宋_GB2312"/>
          <w:sz w:val="32"/>
          <w:szCs w:val="32"/>
          <w:lang w:val="en-US" w:eastAsia="zh-CN"/>
        </w:rPr>
        <w:t>针对</w:t>
      </w:r>
      <w:r>
        <w:rPr>
          <w:rFonts w:hint="eastAsia" w:ascii="仿宋" w:hAnsi="仿宋" w:eastAsia="仿宋" w:cs="仿宋_GB2312"/>
          <w:sz w:val="32"/>
          <w:szCs w:val="32"/>
        </w:rPr>
        <w:t>育龄女性，讲解适龄生育和规划生育的好处、科学避孕方法以及人工流产的危害。树立民众适龄生育、规划生育、保护生育力、科学避孕的正确理念。</w:t>
      </w:r>
    </w:p>
    <w:p w14:paraId="0DF6C4F6">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楷体_GB2312"/>
          <w:sz w:val="32"/>
          <w:szCs w:val="32"/>
        </w:rPr>
        <w:t>（五）探索早孕信息化建设集中管理</w:t>
      </w:r>
    </w:p>
    <w:p w14:paraId="63AFF37F">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1.建立早孕随访管理。充分利用区域早孕关爱管理系统数据，加强对早孕的随访跟踪，共享高危早孕的随访状态，实现妊娠结局的精准管理，促进生殖健康和生育全周期服务落地。</w:t>
      </w:r>
    </w:p>
    <w:p w14:paraId="36A6CB95">
      <w:pPr>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探索早孕分级分层管理。在绍兴市孕产妇妊娠风险评估表的基础上，进一步细化早孕风险评估，落实分级分层管理，并规范转诊；加强早孕管理随访，以机构自查等形式夯实辖区管理，确保早孕妇女得到及时高效闭环的管理。</w:t>
      </w:r>
    </w:p>
    <w:p w14:paraId="42079800">
      <w:pPr>
        <w:spacing w:line="600" w:lineRule="exact"/>
        <w:ind w:firstLine="640" w:firstLineChars="200"/>
        <w:jc w:val="left"/>
        <w:rPr>
          <w:rFonts w:hint="eastAsia" w:ascii="仿宋" w:hAnsi="仿宋" w:eastAsia="仿宋" w:cs="黑体"/>
          <w:bCs/>
          <w:sz w:val="32"/>
          <w:szCs w:val="32"/>
        </w:rPr>
      </w:pPr>
      <w:r>
        <w:rPr>
          <w:rFonts w:hint="eastAsia" w:ascii="仿宋" w:hAnsi="仿宋" w:eastAsia="仿宋" w:cs="黑体"/>
          <w:bCs/>
          <w:sz w:val="32"/>
          <w:szCs w:val="32"/>
        </w:rPr>
        <w:t>四、组织保障</w:t>
      </w:r>
    </w:p>
    <w:p w14:paraId="690457C7">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楷体_GB2312"/>
          <w:sz w:val="32"/>
          <w:szCs w:val="32"/>
        </w:rPr>
        <w:t>（一）强化组织领导，提供政策支持。</w:t>
      </w:r>
      <w:r>
        <w:rPr>
          <w:rFonts w:hint="eastAsia" w:ascii="仿宋" w:hAnsi="仿宋" w:eastAsia="仿宋" w:cs="楷体_GB2312"/>
          <w:sz w:val="32"/>
          <w:szCs w:val="32"/>
          <w:lang w:val="en-US" w:eastAsia="zh-CN"/>
        </w:rPr>
        <w:t>院级班子</w:t>
      </w:r>
      <w:r>
        <w:rPr>
          <w:rFonts w:hint="eastAsia" w:ascii="仿宋" w:hAnsi="仿宋" w:eastAsia="仿宋" w:cs="仿宋_GB2312"/>
          <w:sz w:val="32"/>
          <w:szCs w:val="32"/>
        </w:rPr>
        <w:t>高度重视“早孕关爱行动”，将“早孕关爱行动”作为医院重点工作持续推进，将早孕管理纳入科室及人员绩效考核体系，加大对降低非意愿妊娠流产率的奖励力度，促进全院营造“关爱早孕妇女、促进生殖健康”的良好氛围。</w:t>
      </w:r>
    </w:p>
    <w:p w14:paraId="38410DDD">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楷体_GB2312"/>
          <w:sz w:val="32"/>
          <w:szCs w:val="32"/>
        </w:rPr>
        <w:t>（二）明确各级责任，确保取得实效。</w:t>
      </w:r>
      <w:r>
        <w:rPr>
          <w:rFonts w:hint="eastAsia" w:ascii="仿宋" w:hAnsi="仿宋" w:eastAsia="仿宋" w:cs="仿宋_GB2312"/>
          <w:sz w:val="32"/>
          <w:szCs w:val="32"/>
        </w:rPr>
        <w:t xml:space="preserve">全院各部门要统一思想，密切合作，加大宣传力度，营造有利于工作开展的良好氛围。制定“早孕关爱行动”工作的任务分解表，明确各部门职责，认真学习行动方案，抓细抓实各项举措，确保“早孕关爱行动”取得实效，全力推进辖区妇女的生殖健康。   </w:t>
      </w:r>
    </w:p>
    <w:p w14:paraId="0829467D">
      <w:pPr>
        <w:widowControl/>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楷体_GB2312"/>
          <w:sz w:val="32"/>
          <w:szCs w:val="32"/>
        </w:rPr>
        <w:t>（三）加强监测评估，不断总结经验。</w:t>
      </w:r>
      <w:r>
        <w:rPr>
          <w:rFonts w:hint="eastAsia" w:ascii="仿宋" w:hAnsi="仿宋" w:eastAsia="仿宋" w:cs="仿宋_GB2312"/>
          <w:sz w:val="32"/>
          <w:szCs w:val="32"/>
        </w:rPr>
        <w:t>加强早孕关爱行动实施情况的监测，动态掌握行动实施进展，及时解决行动实施中的问题，持续优化流程。定期开展效果评价，总结经验。</w:t>
      </w:r>
    </w:p>
    <w:p w14:paraId="448EB67C">
      <w:pPr>
        <w:widowControl/>
        <w:spacing w:line="600" w:lineRule="exact"/>
        <w:ind w:firstLine="640" w:firstLineChars="200"/>
        <w:jc w:val="left"/>
        <w:rPr>
          <w:rFonts w:ascii="仿宋_GB2312" w:eastAsia="仿宋_GB2312"/>
          <w:sz w:val="32"/>
          <w:szCs w:val="32"/>
        </w:rPr>
      </w:pPr>
    </w:p>
    <w:p w14:paraId="4C046770">
      <w:pPr>
        <w:widowControl/>
        <w:spacing w:line="600" w:lineRule="exact"/>
        <w:ind w:firstLine="640" w:firstLineChars="200"/>
        <w:jc w:val="left"/>
        <w:rPr>
          <w:rFonts w:hint="eastAsia" w:ascii="仿宋" w:hAnsi="仿宋" w:eastAsia="仿宋"/>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 w:hAnsi="仿宋" w:eastAsia="仿宋"/>
          <w:sz w:val="32"/>
          <w:szCs w:val="32"/>
        </w:rPr>
        <w:t>绍兴市中心医院医共体齐贤分院早孕关爱服务流程</w:t>
      </w:r>
    </w:p>
    <w:p w14:paraId="431C6083">
      <w:pPr>
        <w:widowControl/>
        <w:spacing w:line="600" w:lineRule="exact"/>
        <w:ind w:firstLine="1920" w:firstLineChars="600"/>
        <w:jc w:val="left"/>
        <w:rPr>
          <w:rFonts w:ascii="仿宋_GB2312" w:eastAsia="仿宋_GB2312"/>
          <w:sz w:val="32"/>
          <w:szCs w:val="32"/>
        </w:rPr>
      </w:pPr>
      <w:r>
        <w:rPr>
          <w:rFonts w:hint="eastAsia" w:ascii="仿宋" w:hAnsi="仿宋" w:eastAsia="仿宋"/>
          <w:sz w:val="32"/>
          <w:szCs w:val="32"/>
        </w:rPr>
        <w:t>图</w:t>
      </w:r>
    </w:p>
    <w:p w14:paraId="744D5488">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3C5E72AA">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3DF56438">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6A3BDF25">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2CA77B0F">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3D858BDA">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206904A0">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0474DC33">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4CE03E14">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121C4396">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46CAA2F3">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08C48344">
      <w:pPr>
        <w:pStyle w:val="20"/>
        <w:snapToGrid w:val="0"/>
        <w:spacing w:before="0" w:beforeAutospacing="0" w:after="0" w:afterAutospacing="0" w:line="600" w:lineRule="exact"/>
        <w:ind w:right="1176"/>
        <w:jc w:val="both"/>
        <w:rPr>
          <w:rFonts w:hint="eastAsia" w:ascii="仿宋_GB2312" w:eastAsia="仿宋_GB2312" w:cs="Tahoma"/>
          <w:sz w:val="32"/>
          <w:szCs w:val="32"/>
        </w:rPr>
        <w:sectPr>
          <w:footerReference r:id="rId3" w:type="default"/>
          <w:pgSz w:w="11906" w:h="16838"/>
          <w:pgMar w:top="2098" w:right="1531" w:bottom="1984" w:left="1531" w:header="851" w:footer="1417" w:gutter="0"/>
          <w:pgNumType w:fmt="numberInDash"/>
          <w:cols w:space="425" w:num="1"/>
          <w:docGrid w:type="lines" w:linePitch="312" w:charSpace="0"/>
        </w:sectPr>
      </w:pPr>
    </w:p>
    <w:p w14:paraId="6DCDD7D3">
      <w:pPr>
        <w:pStyle w:val="18"/>
        <w:rPr>
          <w:rFonts w:hint="eastAsia" w:ascii="黑体" w:hAnsi="黑体" w:eastAsia="黑体" w:cs="黑体"/>
          <w:sz w:val="32"/>
          <w:szCs w:val="32"/>
        </w:rPr>
      </w:pPr>
      <w:r>
        <w:rPr>
          <w:rFonts w:hint="eastAsia" w:ascii="黑体" w:hAnsi="黑体" w:eastAsia="黑体" w:cs="黑体"/>
          <w:sz w:val="32"/>
          <w:szCs w:val="32"/>
        </w:rPr>
        <w:t>附件1</w:t>
      </w:r>
    </w:p>
    <w:p w14:paraId="06C81979">
      <w:pPr>
        <w:pStyle w:val="18"/>
        <w:jc w:val="center"/>
        <w:rPr>
          <w:rFonts w:hint="eastAsia" w:ascii="仿宋_GB2312" w:eastAsia="仿宋_GB2312" w:cs="Tahoma"/>
          <w:sz w:val="32"/>
          <w:szCs w:val="32"/>
        </w:rPr>
      </w:pPr>
      <w:r>
        <w:rPr>
          <w:rFonts w:hint="eastAsia" w:asciiTheme="majorEastAsia" w:hAnsiTheme="majorEastAsia" w:eastAsiaTheme="majorEastAsia" w:cstheme="majorEastAsia"/>
          <w:b/>
          <w:bCs/>
          <w:sz w:val="36"/>
          <w:szCs w:val="36"/>
        </w:rPr>
        <w:t>绍兴市中心医院医共体齐贤分院早孕关爱服务流程图</w:t>
      </w:r>
    </w:p>
    <w:p w14:paraId="593C79F1">
      <w:pPr>
        <w:pStyle w:val="20"/>
        <w:snapToGrid w:val="0"/>
        <w:spacing w:before="0" w:beforeAutospacing="0" w:after="0" w:afterAutospacing="0"/>
        <w:jc w:val="center"/>
        <w:rPr>
          <w:rFonts w:hint="eastAsia" w:ascii="仿宋_GB2312" w:eastAsia="仿宋_GB2312" w:cs="Tahoma"/>
          <w:sz w:val="32"/>
          <w:szCs w:val="32"/>
        </w:rPr>
      </w:pPr>
      <w:r>
        <w:rPr>
          <w:rFonts w:hint="eastAsia" w:ascii="仿宋_GB2312" w:eastAsia="仿宋_GB2312" w:cs="Tahoma"/>
          <w:sz w:val="32"/>
          <w:szCs w:val="32"/>
        </w:rPr>
        <w:drawing>
          <wp:inline distT="0" distB="0" distL="114300" distR="114300">
            <wp:extent cx="6760845" cy="4410075"/>
            <wp:effectExtent l="0" t="0" r="1905" b="9525"/>
            <wp:docPr id="2069612950" name="图片 2069612950" descr="C:/Users/Administrator/Desktop/早孕关爱服务流程图.png早孕关爱服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12950" name="图片 2069612950" descr="C:/Users/Administrator/Desktop/早孕关爱服务流程图.png早孕关爱服务流程图"/>
                    <pic:cNvPicPr>
                      <a:picLocks noChangeAspect="1"/>
                    </pic:cNvPicPr>
                  </pic:nvPicPr>
                  <pic:blipFill>
                    <a:blip r:embed="rId8"/>
                    <a:srcRect t="770" b="770"/>
                    <a:stretch>
                      <a:fillRect/>
                    </a:stretch>
                  </pic:blipFill>
                  <pic:spPr>
                    <a:xfrm>
                      <a:off x="0" y="0"/>
                      <a:ext cx="6760845" cy="4410075"/>
                    </a:xfrm>
                    <a:prstGeom prst="rect">
                      <a:avLst/>
                    </a:prstGeom>
                  </pic:spPr>
                </pic:pic>
              </a:graphicData>
            </a:graphic>
          </wp:inline>
        </w:drawing>
      </w:r>
    </w:p>
    <w:p w14:paraId="326E1D45">
      <w:pPr>
        <w:pStyle w:val="20"/>
        <w:snapToGrid w:val="0"/>
        <w:spacing w:before="0" w:beforeAutospacing="0" w:after="0" w:afterAutospacing="0" w:line="600" w:lineRule="exact"/>
        <w:ind w:right="1176"/>
        <w:jc w:val="both"/>
        <w:rPr>
          <w:rFonts w:hint="eastAsia" w:ascii="仿宋_GB2312" w:eastAsia="仿宋_GB2312" w:cs="Tahoma"/>
          <w:sz w:val="32"/>
          <w:szCs w:val="32"/>
        </w:rPr>
        <w:sectPr>
          <w:headerReference r:id="rId4" w:type="default"/>
          <w:pgSz w:w="16838" w:h="11906" w:orient="landscape"/>
          <w:pgMar w:top="1531" w:right="2098" w:bottom="1531" w:left="1984" w:header="851" w:footer="1417" w:gutter="0"/>
          <w:cols w:space="0" w:num="1"/>
          <w:rtlGutter w:val="0"/>
          <w:docGrid w:type="lines" w:linePitch="315" w:charSpace="0"/>
        </w:sectPr>
      </w:pPr>
    </w:p>
    <w:p w14:paraId="18FDACEE">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2C8DD12A">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5FAAB3FB">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7618AD01">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367C83A7">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679CFB8F">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0DDAC695">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332034A0">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36D5981A">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238F9279">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69275593">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6E42B407">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04AAB6DF">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7B8F5484">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6FA334CD">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425EB5C3">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20E24375">
      <w:pPr>
        <w:pStyle w:val="20"/>
        <w:snapToGrid w:val="0"/>
        <w:spacing w:before="0" w:beforeAutospacing="0" w:after="0" w:afterAutospacing="0" w:line="600" w:lineRule="exact"/>
        <w:ind w:right="1176"/>
        <w:jc w:val="both"/>
        <w:rPr>
          <w:rFonts w:hint="eastAsia" w:ascii="仿宋_GB2312" w:eastAsia="仿宋_GB2312" w:cs="Tahoma"/>
          <w:sz w:val="32"/>
          <w:szCs w:val="32"/>
        </w:rPr>
      </w:pPr>
    </w:p>
    <w:p w14:paraId="2F194033">
      <w:pPr>
        <w:pStyle w:val="20"/>
        <w:snapToGrid w:val="0"/>
        <w:spacing w:before="0" w:beforeAutospacing="0" w:after="0" w:afterAutospacing="0" w:line="600" w:lineRule="exact"/>
        <w:ind w:right="1176"/>
        <w:jc w:val="both"/>
        <w:rPr>
          <w:rFonts w:hint="eastAsia" w:ascii="仿宋_GB2312" w:eastAsia="仿宋_GB2312" w:cs="Tahoma"/>
          <w:sz w:val="32"/>
          <w:szCs w:val="32"/>
        </w:rPr>
      </w:pPr>
    </w:p>
    <w:tbl>
      <w:tblPr>
        <w:tblStyle w:val="9"/>
        <w:tblW w:w="8783"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12" w:space="0"/>
        </w:tblBorders>
        <w:tblLayout w:type="fixed"/>
        <w:tblCellMar>
          <w:top w:w="0" w:type="dxa"/>
          <w:left w:w="108" w:type="dxa"/>
          <w:bottom w:w="0" w:type="dxa"/>
          <w:right w:w="108" w:type="dxa"/>
        </w:tblCellMar>
      </w:tblPr>
      <w:tblGrid>
        <w:gridCol w:w="8783"/>
      </w:tblGrid>
      <w:tr w14:paraId="7EC756E8">
        <w:tblPrEx>
          <w:tblBorders>
            <w:top w:val="single" w:color="auto" w:sz="12" w:space="0"/>
            <w:left w:val="none" w:color="auto" w:sz="0" w:space="0"/>
            <w:bottom w:val="single" w:color="auto" w:sz="12" w:space="0"/>
            <w:right w:val="none" w:color="auto" w:sz="0" w:space="0"/>
            <w:insideH w:val="single" w:color="auto" w:sz="4" w:space="0"/>
            <w:insideV w:val="single" w:color="auto" w:sz="12" w:space="0"/>
          </w:tblBorders>
          <w:tblCellMar>
            <w:top w:w="0" w:type="dxa"/>
            <w:left w:w="108" w:type="dxa"/>
            <w:bottom w:w="0" w:type="dxa"/>
            <w:right w:w="108" w:type="dxa"/>
          </w:tblCellMar>
        </w:tblPrEx>
        <w:trPr>
          <w:trHeight w:val="345" w:hRule="atLeast"/>
        </w:trPr>
        <w:tc>
          <w:tcPr>
            <w:tcW w:w="8783" w:type="dxa"/>
            <w:tcBorders>
              <w:top w:val="single" w:color="auto" w:sz="12" w:space="0"/>
              <w:left w:val="nil"/>
              <w:bottom w:val="single" w:color="auto" w:sz="12" w:space="0"/>
              <w:right w:val="nil"/>
            </w:tcBorders>
          </w:tcPr>
          <w:p w14:paraId="3F8EF84A">
            <w:pPr>
              <w:spacing w:line="600" w:lineRule="exact"/>
              <w:ind w:firstLine="280" w:firstLineChars="100"/>
              <w:rPr>
                <w:rFonts w:hint="eastAsia" w:ascii="仿宋_GB2312" w:hAnsi="宋体" w:eastAsia="仿宋_GB2312"/>
                <w:sz w:val="28"/>
                <w:szCs w:val="28"/>
              </w:rPr>
            </w:pPr>
            <w:r>
              <w:rPr>
                <w:rFonts w:hint="eastAsia" w:ascii="仿宋_GB2312" w:hAnsi="宋体" w:eastAsia="仿宋_GB2312"/>
                <w:kern w:val="32"/>
                <w:sz w:val="28"/>
                <w:szCs w:val="28"/>
              </w:rPr>
              <w:t>绍兴市中心医院医共体齐贤分院办公室    2025年3月28日印发</w:t>
            </w:r>
          </w:p>
        </w:tc>
      </w:tr>
    </w:tbl>
    <w:p w14:paraId="4E856ACB">
      <w:pPr>
        <w:spacing w:line="200" w:lineRule="exact"/>
        <w:jc w:val="left"/>
        <w:rPr>
          <w:rFonts w:ascii="仿宋_GB2312" w:eastAsia="仿宋_GB2312"/>
          <w:sz w:val="32"/>
          <w:szCs w:val="32"/>
        </w:rPr>
      </w:pPr>
    </w:p>
    <w:p w14:paraId="1B228561"/>
    <w:sectPr>
      <w:headerReference r:id="rId5" w:type="default"/>
      <w:footerReference r:id="rId6" w:type="default"/>
      <w:pgSz w:w="11906" w:h="16838"/>
      <w:pgMar w:top="2098" w:right="1531" w:bottom="1984" w:left="1531" w:header="851" w:footer="141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605E6-EB16-40B9-B682-322BD7874C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F3703B-6E76-4E2B-9109-D4946E57157B}"/>
  </w:font>
  <w:font w:name="仿宋">
    <w:panose1 w:val="02010609060101010101"/>
    <w:charset w:val="86"/>
    <w:family w:val="modern"/>
    <w:pitch w:val="default"/>
    <w:sig w:usb0="800002BF" w:usb1="38CF7CFA" w:usb2="00000016" w:usb3="00000000" w:csb0="00040001" w:csb1="00000000"/>
    <w:embedRegular r:id="rId3" w:fontKey="{57D92F3D-1043-491B-8D9C-C049FA8B3B62}"/>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embedRegular r:id="rId4" w:fontKey="{9955BE48-78BE-4D28-9A0A-8AEECB8A1009}"/>
  </w:font>
  <w:font w:name="仿宋_GB2312">
    <w:panose1 w:val="02010609030101010101"/>
    <w:charset w:val="86"/>
    <w:family w:val="modern"/>
    <w:pitch w:val="default"/>
    <w:sig w:usb0="00000001" w:usb1="080E0000" w:usb2="00000000" w:usb3="00000000" w:csb0="00040000" w:csb1="00000000"/>
    <w:embedRegular r:id="rId5" w:fontKey="{07D5B2C7-CF28-4319-8881-D629C3DEF3E6}"/>
  </w:font>
  <w:font w:name="Tahoma">
    <w:panose1 w:val="020B0604030504040204"/>
    <w:charset w:val="00"/>
    <w:family w:val="swiss"/>
    <w:pitch w:val="default"/>
    <w:sig w:usb0="E1002EFF" w:usb1="C000605B" w:usb2="00000029" w:usb3="00000000" w:csb0="200101FF" w:csb1="20280000"/>
    <w:embedRegular r:id="rId6" w:fontKey="{30CC331E-3CDE-4CA2-99F1-0FF63D3733E2}"/>
  </w:font>
  <w:font w:name="楷体_GB2312">
    <w:altName w:val="楷体"/>
    <w:panose1 w:val="02010609030101010101"/>
    <w:charset w:val="86"/>
    <w:family w:val="modern"/>
    <w:pitch w:val="default"/>
    <w:sig w:usb0="00000000" w:usb1="00000000" w:usb2="00000000" w:usb3="00000000" w:csb0="00000000" w:csb1="00000000"/>
    <w:embedRegular r:id="rId7" w:fontKey="{991E6C74-E7BF-47D5-94D3-F9B7725DBF4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9573">
    <w:pPr>
      <w:pStyle w:val="6"/>
      <w:jc w:val="right"/>
      <w:rPr>
        <w:rFonts w:hint="eastAsia" w:asciiTheme="minorEastAsia" w:hAnsiTheme="minorEastAsia"/>
        <w:sz w:val="28"/>
        <w:szCs w:val="28"/>
      </w:rPr>
    </w:pPr>
    <w:r>
      <w:rPr>
        <w:rFonts w:hint="eastAsia" w:ascii="Times New Roman" w:hAnsi="Times New Roman" w:eastAsia="宋体"/>
        <w:sz w:val="28"/>
        <w:szCs w:val="18"/>
      </w:rP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224876208"/>
                </w:sdtPr>
                <w:sdtEndPr>
                  <w:rPr>
                    <w:rFonts w:asciiTheme="minorEastAsia" w:hAnsiTheme="minorEastAsia" w:eastAsiaTheme="minorEastAsia"/>
                    <w:sz w:val="28"/>
                    <w:szCs w:val="28"/>
                  </w:rPr>
                </w:sdtEndPr>
                <w:sdtContent>
                  <w:p w14:paraId="16CE5245">
                    <w:pPr>
                      <w:pStyle w:val="5"/>
                      <w:jc w:val="right"/>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1D7420D0">
                <w:pPr>
                  <w:rPr>
                    <w:rFonts w:hint="eastAsia" w:asciiTheme="minorEastAsia" w:hAnsiTheme="minorEastAsia"/>
                    <w:sz w:val="28"/>
                    <w:szCs w:val="28"/>
                  </w:rPr>
                </w:pPr>
              </w:p>
            </w:txbxContent>
          </v:textbox>
        </v:shape>
      </w:pict>
    </w:r>
  </w:p>
  <w:p w14:paraId="750D93A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27C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65BC">
    <w:pPr>
      <w:pStyle w:val="7"/>
      <w:rPr>
        <w:rFonts w:hint="eastAsia" w:ascii="黑体" w:hAnsi="黑体" w:eastAsia="黑体" w:cs="黑体"/>
        <w:sz w:val="22"/>
        <w:szCs w:val="22"/>
      </w:rPr>
    </w:pPr>
  </w:p>
  <w:p w14:paraId="72D312AD">
    <w:pPr>
      <w:pStyle w:val="7"/>
      <w:rPr>
        <w:rFonts w:hint="eastAsia" w:ascii="黑体" w:hAnsi="黑体" w:eastAsia="黑体" w:cs="黑体"/>
        <w:sz w:val="22"/>
        <w:szCs w:val="22"/>
      </w:rPr>
    </w:pPr>
  </w:p>
  <w:p w14:paraId="49A8FE1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7C1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2B"/>
    <w:rsid w:val="0010002B"/>
    <w:rsid w:val="00220F5B"/>
    <w:rsid w:val="0051642B"/>
    <w:rsid w:val="006B1F1D"/>
    <w:rsid w:val="006E64E8"/>
    <w:rsid w:val="007C15E1"/>
    <w:rsid w:val="00996964"/>
    <w:rsid w:val="009C0C3A"/>
    <w:rsid w:val="00AB1050"/>
    <w:rsid w:val="00D54EA8"/>
    <w:rsid w:val="00FF667C"/>
    <w:rsid w:val="017024EA"/>
    <w:rsid w:val="02055AC5"/>
    <w:rsid w:val="02295254"/>
    <w:rsid w:val="02850A24"/>
    <w:rsid w:val="03912269"/>
    <w:rsid w:val="044C3DEC"/>
    <w:rsid w:val="0453704C"/>
    <w:rsid w:val="05A4579C"/>
    <w:rsid w:val="06633A86"/>
    <w:rsid w:val="0727144A"/>
    <w:rsid w:val="07297641"/>
    <w:rsid w:val="08AA1F2A"/>
    <w:rsid w:val="09021F7D"/>
    <w:rsid w:val="094D4761"/>
    <w:rsid w:val="0B862051"/>
    <w:rsid w:val="0BA22E15"/>
    <w:rsid w:val="0BAB38C1"/>
    <w:rsid w:val="0BF17A23"/>
    <w:rsid w:val="0C8F203D"/>
    <w:rsid w:val="0CAC777E"/>
    <w:rsid w:val="0D4133BC"/>
    <w:rsid w:val="0D5B571D"/>
    <w:rsid w:val="0E376C5A"/>
    <w:rsid w:val="0E8F5C39"/>
    <w:rsid w:val="0EC95A65"/>
    <w:rsid w:val="0FDA6AA8"/>
    <w:rsid w:val="10313E98"/>
    <w:rsid w:val="10A76247"/>
    <w:rsid w:val="10AF6E1D"/>
    <w:rsid w:val="1137100E"/>
    <w:rsid w:val="123B629C"/>
    <w:rsid w:val="127C0905"/>
    <w:rsid w:val="12AC6860"/>
    <w:rsid w:val="146C092D"/>
    <w:rsid w:val="14943775"/>
    <w:rsid w:val="14EA63C7"/>
    <w:rsid w:val="15972DC2"/>
    <w:rsid w:val="161A3CCE"/>
    <w:rsid w:val="16325B0E"/>
    <w:rsid w:val="163443A1"/>
    <w:rsid w:val="169A3094"/>
    <w:rsid w:val="16C52F12"/>
    <w:rsid w:val="174210C6"/>
    <w:rsid w:val="17BF1C1D"/>
    <w:rsid w:val="189939A7"/>
    <w:rsid w:val="197841EA"/>
    <w:rsid w:val="1A59068E"/>
    <w:rsid w:val="1AAF446A"/>
    <w:rsid w:val="1AC772B0"/>
    <w:rsid w:val="1B477BED"/>
    <w:rsid w:val="1B6D1B4C"/>
    <w:rsid w:val="1BA64AE7"/>
    <w:rsid w:val="1DD347F7"/>
    <w:rsid w:val="1EFA50B5"/>
    <w:rsid w:val="1EFE69F1"/>
    <w:rsid w:val="1F0C3C96"/>
    <w:rsid w:val="1F344656"/>
    <w:rsid w:val="1F531619"/>
    <w:rsid w:val="1F625070"/>
    <w:rsid w:val="1FC23032"/>
    <w:rsid w:val="2014122F"/>
    <w:rsid w:val="20D238D9"/>
    <w:rsid w:val="21F348FC"/>
    <w:rsid w:val="22070315"/>
    <w:rsid w:val="227E00CB"/>
    <w:rsid w:val="247E39D9"/>
    <w:rsid w:val="249B6432"/>
    <w:rsid w:val="25411333"/>
    <w:rsid w:val="256C537F"/>
    <w:rsid w:val="258732A4"/>
    <w:rsid w:val="25B53385"/>
    <w:rsid w:val="264F7A80"/>
    <w:rsid w:val="26CF6892"/>
    <w:rsid w:val="26FF0181"/>
    <w:rsid w:val="270F6DC4"/>
    <w:rsid w:val="27ED2771"/>
    <w:rsid w:val="281024AD"/>
    <w:rsid w:val="281667DF"/>
    <w:rsid w:val="283E1DF7"/>
    <w:rsid w:val="28450909"/>
    <w:rsid w:val="28C64B8B"/>
    <w:rsid w:val="28E91848"/>
    <w:rsid w:val="29286EEE"/>
    <w:rsid w:val="299D544C"/>
    <w:rsid w:val="29E2698B"/>
    <w:rsid w:val="2A344C00"/>
    <w:rsid w:val="2A8D3EFF"/>
    <w:rsid w:val="2ACF537F"/>
    <w:rsid w:val="2B562DE4"/>
    <w:rsid w:val="2C022C7B"/>
    <w:rsid w:val="2C0B204F"/>
    <w:rsid w:val="2C306614"/>
    <w:rsid w:val="2CAD32E5"/>
    <w:rsid w:val="2CC01531"/>
    <w:rsid w:val="2CD04020"/>
    <w:rsid w:val="2CE41882"/>
    <w:rsid w:val="2D9844D6"/>
    <w:rsid w:val="2F137821"/>
    <w:rsid w:val="2F8C62AE"/>
    <w:rsid w:val="30D00440"/>
    <w:rsid w:val="31157754"/>
    <w:rsid w:val="31C046D6"/>
    <w:rsid w:val="328C377D"/>
    <w:rsid w:val="329C0D35"/>
    <w:rsid w:val="32C70CA3"/>
    <w:rsid w:val="32D331BE"/>
    <w:rsid w:val="349E7846"/>
    <w:rsid w:val="357001E9"/>
    <w:rsid w:val="357716E7"/>
    <w:rsid w:val="36092F24"/>
    <w:rsid w:val="368E01E6"/>
    <w:rsid w:val="375A1B8F"/>
    <w:rsid w:val="384910BC"/>
    <w:rsid w:val="3879251A"/>
    <w:rsid w:val="38EC6393"/>
    <w:rsid w:val="392D1936"/>
    <w:rsid w:val="393814DA"/>
    <w:rsid w:val="396F6F2F"/>
    <w:rsid w:val="3A207A99"/>
    <w:rsid w:val="3A8B2C5F"/>
    <w:rsid w:val="3CD15B81"/>
    <w:rsid w:val="3CFB3DE4"/>
    <w:rsid w:val="3E00707F"/>
    <w:rsid w:val="3F2E1D7C"/>
    <w:rsid w:val="3F653E61"/>
    <w:rsid w:val="3F7254DC"/>
    <w:rsid w:val="3FA93EF0"/>
    <w:rsid w:val="40AF5C0D"/>
    <w:rsid w:val="41475E1C"/>
    <w:rsid w:val="42C63C4B"/>
    <w:rsid w:val="435C5836"/>
    <w:rsid w:val="43671A00"/>
    <w:rsid w:val="43680F82"/>
    <w:rsid w:val="4394552B"/>
    <w:rsid w:val="443570C2"/>
    <w:rsid w:val="45522791"/>
    <w:rsid w:val="47206EE7"/>
    <w:rsid w:val="47B335AE"/>
    <w:rsid w:val="49AE1058"/>
    <w:rsid w:val="4B710465"/>
    <w:rsid w:val="4BAE5D31"/>
    <w:rsid w:val="4BF17391"/>
    <w:rsid w:val="4C7F0772"/>
    <w:rsid w:val="4CC92E14"/>
    <w:rsid w:val="4CFB35EB"/>
    <w:rsid w:val="4DB012E8"/>
    <w:rsid w:val="4E155EDD"/>
    <w:rsid w:val="4EFD2D01"/>
    <w:rsid w:val="4F405750"/>
    <w:rsid w:val="4F5B5314"/>
    <w:rsid w:val="4F5C0C3A"/>
    <w:rsid w:val="503E3ED2"/>
    <w:rsid w:val="50873D27"/>
    <w:rsid w:val="50D23F51"/>
    <w:rsid w:val="50DC3650"/>
    <w:rsid w:val="51345551"/>
    <w:rsid w:val="528D0378"/>
    <w:rsid w:val="52A81938"/>
    <w:rsid w:val="53AA5959"/>
    <w:rsid w:val="5477646C"/>
    <w:rsid w:val="560E3D71"/>
    <w:rsid w:val="56274FB6"/>
    <w:rsid w:val="56680A69"/>
    <w:rsid w:val="57670BFA"/>
    <w:rsid w:val="580752A5"/>
    <w:rsid w:val="58476AB6"/>
    <w:rsid w:val="5884411A"/>
    <w:rsid w:val="588754CB"/>
    <w:rsid w:val="58B04190"/>
    <w:rsid w:val="59236823"/>
    <w:rsid w:val="592A724F"/>
    <w:rsid w:val="59B40FF4"/>
    <w:rsid w:val="5AD7215D"/>
    <w:rsid w:val="5AFF0554"/>
    <w:rsid w:val="5B0648D8"/>
    <w:rsid w:val="5B714F1C"/>
    <w:rsid w:val="5BF14427"/>
    <w:rsid w:val="5C655BFB"/>
    <w:rsid w:val="5C7110F0"/>
    <w:rsid w:val="5D020A44"/>
    <w:rsid w:val="5D4F3B46"/>
    <w:rsid w:val="5E0F4A5C"/>
    <w:rsid w:val="5E9E46E6"/>
    <w:rsid w:val="5FA37909"/>
    <w:rsid w:val="60EE37D4"/>
    <w:rsid w:val="61E20322"/>
    <w:rsid w:val="61F803D0"/>
    <w:rsid w:val="625F4E92"/>
    <w:rsid w:val="62A82864"/>
    <w:rsid w:val="63393ECA"/>
    <w:rsid w:val="63FC5C7D"/>
    <w:rsid w:val="64010D36"/>
    <w:rsid w:val="642377AA"/>
    <w:rsid w:val="64342506"/>
    <w:rsid w:val="65B92B7E"/>
    <w:rsid w:val="65D529EB"/>
    <w:rsid w:val="66170585"/>
    <w:rsid w:val="66265DC8"/>
    <w:rsid w:val="666D7E19"/>
    <w:rsid w:val="672B701E"/>
    <w:rsid w:val="678B75E9"/>
    <w:rsid w:val="67F5366B"/>
    <w:rsid w:val="69AF50DB"/>
    <w:rsid w:val="6A4362AD"/>
    <w:rsid w:val="6A525CB8"/>
    <w:rsid w:val="6A7B40FB"/>
    <w:rsid w:val="6AD953FD"/>
    <w:rsid w:val="6AF25D7A"/>
    <w:rsid w:val="6BC13AEB"/>
    <w:rsid w:val="6C0E76D2"/>
    <w:rsid w:val="6D057045"/>
    <w:rsid w:val="6D063B06"/>
    <w:rsid w:val="6DD35BF2"/>
    <w:rsid w:val="6E01637A"/>
    <w:rsid w:val="6E1575D2"/>
    <w:rsid w:val="6E245F5D"/>
    <w:rsid w:val="6E791376"/>
    <w:rsid w:val="6EA00CC9"/>
    <w:rsid w:val="6EAB5D6F"/>
    <w:rsid w:val="6F102479"/>
    <w:rsid w:val="6FC4258B"/>
    <w:rsid w:val="6FD235B6"/>
    <w:rsid w:val="70154351"/>
    <w:rsid w:val="70417D4C"/>
    <w:rsid w:val="70966960"/>
    <w:rsid w:val="716E7CA4"/>
    <w:rsid w:val="721E33E0"/>
    <w:rsid w:val="728460A4"/>
    <w:rsid w:val="732A77D7"/>
    <w:rsid w:val="73B171F4"/>
    <w:rsid w:val="7415500B"/>
    <w:rsid w:val="742D4AE6"/>
    <w:rsid w:val="743825EA"/>
    <w:rsid w:val="74AE170E"/>
    <w:rsid w:val="75A146DF"/>
    <w:rsid w:val="76022119"/>
    <w:rsid w:val="765B2545"/>
    <w:rsid w:val="76873133"/>
    <w:rsid w:val="770D4EC3"/>
    <w:rsid w:val="775A1AE6"/>
    <w:rsid w:val="77774AE3"/>
    <w:rsid w:val="77C4272B"/>
    <w:rsid w:val="781D585F"/>
    <w:rsid w:val="78DB16ED"/>
    <w:rsid w:val="79545DED"/>
    <w:rsid w:val="79835957"/>
    <w:rsid w:val="7A8F753C"/>
    <w:rsid w:val="7AA117F7"/>
    <w:rsid w:val="7C040731"/>
    <w:rsid w:val="7C504481"/>
    <w:rsid w:val="7C8C2140"/>
    <w:rsid w:val="7D055AE2"/>
    <w:rsid w:val="7E4D01F2"/>
    <w:rsid w:val="7EB82C9D"/>
    <w:rsid w:val="7EDC223B"/>
    <w:rsid w:val="7EF869BF"/>
    <w:rsid w:val="7F4A0C57"/>
    <w:rsid w:val="7FD52CFC"/>
    <w:rsid w:val="7FE74CF3"/>
    <w:rsid w:val="7FEB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600" w:lineRule="exact"/>
      <w:ind w:firstLine="200"/>
      <w:outlineLvl w:val="0"/>
    </w:pPr>
    <w:rPr>
      <w:rFonts w:ascii="黑体" w:hAnsi="黑体" w:eastAsia="黑体"/>
      <w:kern w:val="0"/>
      <w:szCs w:val="20"/>
    </w:rPr>
  </w:style>
  <w:style w:type="paragraph" w:styleId="3">
    <w:name w:val="heading 2"/>
    <w:basedOn w:val="1"/>
    <w:next w:val="1"/>
    <w:qFormat/>
    <w:uiPriority w:val="99"/>
    <w:pPr>
      <w:spacing w:before="200" w:line="271" w:lineRule="auto"/>
      <w:jc w:val="center"/>
      <w:outlineLvl w:val="1"/>
    </w:pPr>
    <w:rPr>
      <w:rFonts w:ascii="Times New Roman" w:hAnsi="Times New Roman"/>
      <w:b/>
      <w:smallCap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0"/>
      <w:szCs w:val="30"/>
      <w:lang w:eastAsia="en-US"/>
    </w:rPr>
  </w:style>
  <w:style w:type="paragraph" w:styleId="5">
    <w:name w:val="Balloon Text"/>
    <w:basedOn w:val="1"/>
    <w:link w:val="14"/>
    <w:qFormat/>
    <w:uiPriority w:val="0"/>
    <w:pPr>
      <w:widowControl/>
      <w:kinsoku w:val="0"/>
      <w:autoSpaceDE w:val="0"/>
      <w:autoSpaceDN w:val="0"/>
      <w:adjustRightInd w:val="0"/>
      <w:snapToGrid w:val="0"/>
      <w:jc w:val="left"/>
      <w:textAlignment w:val="baseline"/>
    </w:pPr>
    <w:rPr>
      <w:rFonts w:ascii="Arial" w:hAnsi="Arial" w:eastAsia="宋体" w:cs="Arial"/>
      <w:color w:val="000000"/>
      <w:kern w:val="0"/>
      <w:sz w:val="18"/>
      <w:szCs w:val="18"/>
    </w:rPr>
  </w:style>
  <w:style w:type="paragraph" w:styleId="6">
    <w:name w:val="footer"/>
    <w:basedOn w:val="1"/>
    <w:link w:val="15"/>
    <w:qFormat/>
    <w:uiPriority w:val="99"/>
    <w:pPr>
      <w:tabs>
        <w:tab w:val="center" w:pos="4153"/>
        <w:tab w:val="right" w:pos="8306"/>
      </w:tabs>
      <w:snapToGrid w:val="0"/>
      <w:jc w:val="left"/>
    </w:pPr>
    <w:rPr>
      <w:kern w:val="0"/>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rPr>
  </w:style>
  <w:style w:type="paragraph" w:customStyle="1" w:styleId="13">
    <w:name w:val="Table Text"/>
    <w:basedOn w:val="1"/>
    <w:semiHidden/>
    <w:qFormat/>
    <w:uiPriority w:val="0"/>
    <w:rPr>
      <w:rFonts w:ascii="微软雅黑" w:hAnsi="微软雅黑" w:eastAsia="微软雅黑" w:cs="宋体"/>
      <w:sz w:val="17"/>
      <w:szCs w:val="17"/>
    </w:rPr>
  </w:style>
  <w:style w:type="character" w:customStyle="1" w:styleId="14">
    <w:name w:val="批注框文本 字符"/>
    <w:basedOn w:val="11"/>
    <w:link w:val="5"/>
    <w:semiHidden/>
    <w:qFormat/>
    <w:uiPriority w:val="99"/>
    <w:rPr>
      <w:rFonts w:ascii="Arial" w:hAnsi="Arial" w:eastAsia="宋体" w:cs="Arial"/>
      <w:color w:val="000000"/>
      <w:kern w:val="0"/>
      <w:sz w:val="18"/>
      <w:szCs w:val="18"/>
    </w:rPr>
  </w:style>
  <w:style w:type="character" w:customStyle="1" w:styleId="15">
    <w:name w:val="页脚 字符"/>
    <w:basedOn w:val="11"/>
    <w:link w:val="6"/>
    <w:qFormat/>
    <w:uiPriority w:val="99"/>
    <w:rPr>
      <w:rFonts w:ascii="Times New Roman" w:hAnsi="Times New Roman" w:eastAsia="宋体" w:cs="Times New Roman"/>
      <w:kern w:val="0"/>
      <w:sz w:val="18"/>
    </w:rPr>
  </w:style>
  <w:style w:type="character" w:customStyle="1" w:styleId="16">
    <w:name w:val="页眉 字符"/>
    <w:basedOn w:val="11"/>
    <w:link w:val="7"/>
    <w:qFormat/>
    <w:uiPriority w:val="99"/>
    <w:rPr>
      <w:rFonts w:ascii="Times New Roman" w:hAnsi="Times New Roman" w:eastAsia="宋体" w:cs="Times New Roman"/>
      <w:sz w:val="18"/>
    </w:rPr>
  </w:style>
  <w:style w:type="paragraph" w:customStyle="1" w:styleId="17">
    <w:name w:val="正文1"/>
    <w:qFormat/>
    <w:uiPriority w:val="0"/>
    <w:pPr>
      <w:jc w:val="both"/>
    </w:pPr>
    <w:rPr>
      <w:rFonts w:ascii="Arial" w:hAnsi="Arial" w:eastAsia="宋体" w:cs="Arial"/>
      <w:kern w:val="2"/>
      <w:sz w:val="21"/>
      <w:szCs w:val="21"/>
      <w:lang w:val="en-US" w:eastAsia="zh-CN" w:bidi="ar-SA"/>
    </w:rPr>
  </w:style>
  <w:style w:type="paragraph" w:customStyle="1" w:styleId="18">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p0"/>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21">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2744</Words>
  <Characters>2771</Characters>
  <Lines>85</Lines>
  <Paragraphs>24</Paragraphs>
  <TotalTime>33</TotalTime>
  <ScaleCrop>false</ScaleCrop>
  <LinksUpToDate>false</LinksUpToDate>
  <CharactersWithSpaces>2809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2025-05-12T08:51:00Z</dcterms:created>
  <dc:creator>Administrator</dc:creator>
  <cp:lastModifiedBy>牛商网廖慧瑜</cp:lastModifiedBy>
  <dcterms:modified xsi:type="dcterms:W3CDTF">2025-06-05T09:50:43Z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eyJoZGlkIjoiN2ZiODE0ZjZjNmQ3OTcwZGQxY2MxYzViMjhkODc5ODMiLCJ1c2VySWQiOiIxNjg5NjMxMjI4In0=</vt:lpwstr>
  </property>
  <property fmtid="{D5CDD505-2E9C-101B-9397-08002B2CF9AE}" pid="4" name="ICV">
    <vt:lpwstr>7CC2B535147C4003A1AD2E2DB3052833_13</vt:lpwstr>
  </property>
</Properties>
</file>